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6602D" w14:textId="162851DF" w:rsidR="009C76D7" w:rsidRDefault="00C34A47">
      <w:r>
        <w:t>Pärnu mnt 31 ja Puiestee 18 DETAILPLANEERING</w:t>
      </w:r>
    </w:p>
    <w:p w14:paraId="6AA3D945" w14:textId="15408D7B" w:rsidR="00C34A47" w:rsidRDefault="00E15A1A">
      <w:r>
        <w:t>MUUDATUSTE KIRJELDUS</w:t>
      </w:r>
    </w:p>
    <w:p w14:paraId="477B01AB" w14:textId="77777777" w:rsidR="00C34A47" w:rsidRDefault="00C34A47"/>
    <w:p w14:paraId="073FF2DE" w14:textId="3F4B9112" w:rsidR="00E15A1A" w:rsidRDefault="00E15A1A">
      <w:r>
        <w:t>Ve</w:t>
      </w:r>
      <w:r w:rsidR="007716A0">
        <w:t>rs</w:t>
      </w:r>
      <w:r>
        <w:t>ioon 02</w:t>
      </w:r>
    </w:p>
    <w:p w14:paraId="33C6370B" w14:textId="47B802FA" w:rsidR="00E15A1A" w:rsidRDefault="00E15A1A">
      <w:r>
        <w:t>Seletuskiri</w:t>
      </w:r>
    </w:p>
    <w:p w14:paraId="6E0E2B50" w14:textId="5860FAF2" w:rsidR="00243062" w:rsidRDefault="00243062" w:rsidP="00243062">
      <w:pPr>
        <w:pStyle w:val="Loendilik"/>
        <w:numPr>
          <w:ilvl w:val="0"/>
          <w:numId w:val="1"/>
        </w:numPr>
      </w:pPr>
      <w:r>
        <w:t>Lisatud Lisade kirjeldusse Elektrilevi tehnilised tingimused</w:t>
      </w:r>
    </w:p>
    <w:p w14:paraId="12EDEFDB" w14:textId="5A704D67" w:rsidR="00243062" w:rsidRDefault="00243062" w:rsidP="00243062">
      <w:pPr>
        <w:pStyle w:val="Loendilik"/>
        <w:numPr>
          <w:ilvl w:val="0"/>
          <w:numId w:val="1"/>
        </w:numPr>
      </w:pPr>
      <w:r>
        <w:t xml:space="preserve">Muudetud </w:t>
      </w:r>
      <w:r w:rsidR="00DD7449">
        <w:t xml:space="preserve">punkti 13.6  </w:t>
      </w:r>
      <w:r w:rsidR="008001AE">
        <w:t>sõnastus kogu ulatuses</w:t>
      </w:r>
    </w:p>
    <w:p w14:paraId="08D08645" w14:textId="61D3F747" w:rsidR="008001AE" w:rsidRDefault="008001AE" w:rsidP="008001AE">
      <w:r>
        <w:t>Põhijoonis</w:t>
      </w:r>
    </w:p>
    <w:p w14:paraId="06ACDD63" w14:textId="4A11DC17" w:rsidR="008001AE" w:rsidRDefault="008001AE" w:rsidP="008001AE">
      <w:pPr>
        <w:pStyle w:val="Loendilik"/>
        <w:numPr>
          <w:ilvl w:val="0"/>
          <w:numId w:val="2"/>
        </w:numPr>
      </w:pPr>
      <w:r>
        <w:t>Täpsustatud elektrivõrguga liitumispunktid</w:t>
      </w:r>
      <w:r w:rsidR="00322E84">
        <w:t>.</w:t>
      </w:r>
    </w:p>
    <w:p w14:paraId="080964DB" w14:textId="77777777" w:rsidR="00B26ABD" w:rsidRDefault="00B26ABD" w:rsidP="007716A0"/>
    <w:p w14:paraId="4B0CEDE4" w14:textId="77777777" w:rsidR="00F62C8B" w:rsidRDefault="00F62C8B" w:rsidP="007716A0"/>
    <w:p w14:paraId="6BF078A1" w14:textId="31BBADDA" w:rsidR="007716A0" w:rsidRDefault="007716A0" w:rsidP="007716A0">
      <w:r>
        <w:t>Versioon 3</w:t>
      </w:r>
    </w:p>
    <w:p w14:paraId="497D59FA" w14:textId="7AD191FB" w:rsidR="00772438" w:rsidRDefault="00772438" w:rsidP="007716A0">
      <w:r>
        <w:t>Seletuskiri</w:t>
      </w:r>
    </w:p>
    <w:p w14:paraId="57449430" w14:textId="65901E03" w:rsidR="00772438" w:rsidRDefault="00772438" w:rsidP="00005B91">
      <w:pPr>
        <w:pStyle w:val="Loendilik"/>
        <w:numPr>
          <w:ilvl w:val="0"/>
          <w:numId w:val="3"/>
        </w:numPr>
      </w:pPr>
      <w:r>
        <w:t xml:space="preserve">Punktis </w:t>
      </w:r>
      <w:r w:rsidR="00A35B0C">
        <w:t>9 muudetud loetelu punktid numbriliseks. Järjestuva punkti 9.10 esimene lause sõnastatud “</w:t>
      </w:r>
      <w:r w:rsidR="00A35B0C" w:rsidRPr="00F15B1C">
        <w:t xml:space="preserve"> </w:t>
      </w:r>
      <w:r w:rsidR="00A35B0C" w:rsidRPr="00A34B65">
        <w:t xml:space="preserve">Kruntidele hoonestuse kavandamisel tuleb järgida et linnaruumis domineerivad hooned paikneksid põhimahtudega </w:t>
      </w:r>
      <w:r w:rsidR="00A35B0C">
        <w:t xml:space="preserve">krundil </w:t>
      </w:r>
      <w:r w:rsidR="0061333C">
        <w:t xml:space="preserve">tänava pool </w:t>
      </w:r>
      <w:r w:rsidR="00A35B0C" w:rsidRPr="00A34B65">
        <w:t>samal ehitusjoonel.</w:t>
      </w:r>
      <w:r w:rsidR="00A35B0C">
        <w:t>“</w:t>
      </w:r>
    </w:p>
    <w:p w14:paraId="685EC772" w14:textId="4DC9764C" w:rsidR="00DB2566" w:rsidRPr="00522586" w:rsidRDefault="00336A8B" w:rsidP="00F26D25">
      <w:pPr>
        <w:pStyle w:val="Loendilik"/>
        <w:numPr>
          <w:ilvl w:val="0"/>
          <w:numId w:val="3"/>
        </w:numPr>
      </w:pPr>
      <w:r>
        <w:t xml:space="preserve">Punkti 10.1 </w:t>
      </w:r>
      <w:r w:rsidR="0067586B">
        <w:t>täiendatud ja muudetud ning sõnastatud</w:t>
      </w:r>
      <w:r>
        <w:t xml:space="preserve"> </w:t>
      </w:r>
      <w:r w:rsidR="0067586B" w:rsidRPr="1FD14086">
        <w:rPr>
          <w:rFonts w:ascii="Times" w:eastAsia="Times" w:hAnsi="Times" w:cs="Times"/>
          <w:color w:val="000000" w:themeColor="text1"/>
        </w:rPr>
        <w:t>Üldist liikluskorraldust piirnevatel Pärnu maanteel, Puiestee tänaval ja Tähe tänaval planeeringuga ei muudeta</w:t>
      </w:r>
      <w:r w:rsidR="0067586B">
        <w:rPr>
          <w:rFonts w:ascii="Times" w:eastAsia="Times" w:hAnsi="Times" w:cs="Times"/>
          <w:color w:val="000000" w:themeColor="text1"/>
        </w:rPr>
        <w:t xml:space="preserve"> va. Pärnu maanteelt krundile POS 1 olemasoleva transpordile juurdepääsu likvideerimine</w:t>
      </w:r>
      <w:r w:rsidR="0067586B" w:rsidRPr="1FD14086">
        <w:rPr>
          <w:rFonts w:ascii="Times" w:eastAsia="Times" w:hAnsi="Times" w:cs="Times"/>
          <w:color w:val="000000" w:themeColor="text1"/>
        </w:rPr>
        <w:t xml:space="preserve">. </w:t>
      </w:r>
      <w:r w:rsidR="0067586B">
        <w:rPr>
          <w:rFonts w:ascii="Times" w:eastAsia="Times" w:hAnsi="Times" w:cs="Times"/>
          <w:color w:val="000000" w:themeColor="text1"/>
        </w:rPr>
        <w:t>Uute pääsude asukohad krundile POS 1 on näidatud Tähe tänavalt ja Puiestee tänavalt. Krundile POS 2 pääsud on planeeritud Puiestee tänavalt. Pääsude asukohad joonisel JN100 Põhijoonis on tinglikud ja need täpsustatakse kooskõlastamisele esitatava eskiisprojektiga. Reeglina näha ette üks juurdepääs krundile. Lisa juurdepääsude rajamine saab toimuda kooskõlastatuna linnavalitsuse liikluskorralduse valdkonna vastutava ametiga.</w:t>
      </w:r>
    </w:p>
    <w:p w14:paraId="2CC481B9" w14:textId="344A84F0" w:rsidR="00522586" w:rsidRDefault="00522586" w:rsidP="00F26D25">
      <w:pPr>
        <w:pStyle w:val="Loendilik"/>
        <w:numPr>
          <w:ilvl w:val="0"/>
          <w:numId w:val="3"/>
        </w:numPr>
      </w:pPr>
      <w:r>
        <w:rPr>
          <w:rFonts w:ascii="Times" w:eastAsia="Times" w:hAnsi="Times" w:cs="Times"/>
          <w:color w:val="000000" w:themeColor="text1"/>
        </w:rPr>
        <w:t>Punkti 10.1</w:t>
      </w:r>
      <w:r w:rsidR="00D23B3A">
        <w:rPr>
          <w:rFonts w:ascii="Times" w:eastAsia="Times" w:hAnsi="Times" w:cs="Times"/>
          <w:color w:val="000000" w:themeColor="text1"/>
        </w:rPr>
        <w:t xml:space="preserve"> viimane lause „</w:t>
      </w:r>
      <w:r w:rsidR="00D23B3A" w:rsidRPr="00221C16">
        <w:t>Krundile tuletõrjevahenditega juurdepääs avalikult maalt on planeeritud Tähe tänavalt või Puiestee tänavalt</w:t>
      </w:r>
      <w:r w:rsidR="00D23B3A">
        <w:t>“ tõstetud punkti</w:t>
      </w:r>
      <w:r w:rsidR="00EC0DEC">
        <w:t xml:space="preserve"> 12 viimaseks lauseks.</w:t>
      </w:r>
    </w:p>
    <w:p w14:paraId="4ADD1B06" w14:textId="12F10BFA" w:rsidR="00F26D25" w:rsidRDefault="00DB2566" w:rsidP="00F26D25">
      <w:pPr>
        <w:pStyle w:val="Loendilik"/>
        <w:numPr>
          <w:ilvl w:val="0"/>
          <w:numId w:val="3"/>
        </w:numPr>
      </w:pPr>
      <w:r>
        <w:t>S</w:t>
      </w:r>
      <w:r w:rsidR="00F26D25">
        <w:t xml:space="preserve">õnastatud esimene lause punktis 10.2 „Parkimisnormatiivi täitmine tuleb korraldada krundi maa-alal võttes aluseks </w:t>
      </w:r>
      <w:r w:rsidR="00F26D25" w:rsidRPr="00E64E5D">
        <w:rPr>
          <w:rFonts w:eastAsiaTheme="minorEastAsia"/>
        </w:rPr>
        <w:t>EVS 843 „Linnatänavad“</w:t>
      </w:r>
      <w:r w:rsidR="00F26D25">
        <w:t>.“</w:t>
      </w:r>
    </w:p>
    <w:p w14:paraId="1F629132" w14:textId="1CCE6FE5" w:rsidR="00F26D25" w:rsidRDefault="00F26D25" w:rsidP="00F26D25">
      <w:pPr>
        <w:pStyle w:val="Loendilik"/>
        <w:numPr>
          <w:ilvl w:val="0"/>
          <w:numId w:val="3"/>
        </w:numPr>
      </w:pPr>
      <w:r>
        <w:t>Ära jäetud punkti 10.2 kolmas alapunkt.</w:t>
      </w:r>
    </w:p>
    <w:p w14:paraId="2368E0BD" w14:textId="36A772DE" w:rsidR="00F26D25" w:rsidRDefault="00F26D25" w:rsidP="00F26D25">
      <w:pPr>
        <w:pStyle w:val="Loendilik"/>
        <w:numPr>
          <w:ilvl w:val="0"/>
          <w:numId w:val="3"/>
        </w:numPr>
      </w:pPr>
      <w:r>
        <w:t>Punkti 10.2  neljas alapunkt tõstetud punkti 10.1 viimaseks lauseks.</w:t>
      </w:r>
    </w:p>
    <w:p w14:paraId="391893A2" w14:textId="0DB6153E" w:rsidR="00A436A5" w:rsidRPr="000D1A9F" w:rsidRDefault="00A436A5" w:rsidP="00005B91">
      <w:pPr>
        <w:pStyle w:val="Loendilik"/>
        <w:numPr>
          <w:ilvl w:val="0"/>
          <w:numId w:val="3"/>
        </w:numPr>
      </w:pPr>
      <w:r>
        <w:t xml:space="preserve">Punkti </w:t>
      </w:r>
      <w:r w:rsidR="00364AA2">
        <w:t xml:space="preserve">11.1 lõppu lisatud: </w:t>
      </w:r>
      <w:r w:rsidR="003B4096">
        <w:t>„</w:t>
      </w:r>
      <w:r w:rsidR="003B4096">
        <w:rPr>
          <w:color w:val="000000"/>
          <w:sz w:val="23"/>
          <w:szCs w:val="23"/>
          <w:lang w:eastAsia="et-EE"/>
        </w:rPr>
        <w:t xml:space="preserve">Puhverhaljastuse rajamise kohustust ei seata hoonestuse paiknemisel kuni 4 m kaugusel </w:t>
      </w:r>
      <w:r w:rsidR="00283CC7">
        <w:rPr>
          <w:color w:val="000000"/>
          <w:sz w:val="23"/>
          <w:szCs w:val="23"/>
          <w:lang w:eastAsia="et-EE"/>
        </w:rPr>
        <w:t>naaber</w:t>
      </w:r>
      <w:r w:rsidR="003B4096">
        <w:rPr>
          <w:color w:val="000000"/>
          <w:sz w:val="23"/>
          <w:szCs w:val="23"/>
          <w:lang w:eastAsia="et-EE"/>
        </w:rPr>
        <w:t xml:space="preserve">krundi piirist. Puhverhaljastuse lahendus kavandada kooskõlastatava </w:t>
      </w:r>
      <w:r w:rsidR="00550E9A">
        <w:rPr>
          <w:color w:val="000000"/>
          <w:sz w:val="23"/>
          <w:szCs w:val="23"/>
          <w:lang w:eastAsia="et-EE"/>
        </w:rPr>
        <w:t xml:space="preserve">ehitusprojekti </w:t>
      </w:r>
      <w:r w:rsidR="003B4096">
        <w:rPr>
          <w:color w:val="000000"/>
          <w:sz w:val="23"/>
          <w:szCs w:val="23"/>
          <w:lang w:eastAsia="et-EE"/>
        </w:rPr>
        <w:t>eskiislahendusega.</w:t>
      </w:r>
      <w:r w:rsidR="0098781C">
        <w:rPr>
          <w:color w:val="000000"/>
          <w:sz w:val="23"/>
          <w:szCs w:val="23"/>
          <w:lang w:eastAsia="et-EE"/>
        </w:rPr>
        <w:t xml:space="preserve"> Puhverhaljastuse rajamisest krundi piiril võib loobuda naaberkinnistu omaniku nõusolekul.</w:t>
      </w:r>
      <w:r w:rsidR="00B83B1F">
        <w:rPr>
          <w:color w:val="000000"/>
          <w:sz w:val="23"/>
          <w:szCs w:val="23"/>
          <w:lang w:eastAsia="et-EE"/>
        </w:rPr>
        <w:t>“</w:t>
      </w:r>
    </w:p>
    <w:p w14:paraId="191C4705" w14:textId="6F471B60" w:rsidR="00005B91" w:rsidRDefault="00005B91" w:rsidP="007716A0">
      <w:r>
        <w:t>Põhijoonis</w:t>
      </w:r>
    </w:p>
    <w:p w14:paraId="2A4A87BA" w14:textId="08BCF364" w:rsidR="00544901" w:rsidRPr="00F15B1C" w:rsidRDefault="00544901" w:rsidP="003B2761">
      <w:pPr>
        <w:pStyle w:val="Loendilik"/>
        <w:numPr>
          <w:ilvl w:val="0"/>
          <w:numId w:val="4"/>
        </w:numPr>
      </w:pPr>
      <w:r>
        <w:t>Tingmär</w:t>
      </w:r>
      <w:r w:rsidR="00191CA6">
        <w:t xml:space="preserve">gi </w:t>
      </w:r>
      <w:r w:rsidR="00E0500B">
        <w:t xml:space="preserve">„Hoone paiknemise tingimus lisatud täiendus viitega seletuskirja punktile </w:t>
      </w:r>
    </w:p>
    <w:p w14:paraId="0583D185" w14:textId="0BDCFA7C" w:rsidR="00005B91" w:rsidRDefault="002C3767" w:rsidP="00005B91">
      <w:pPr>
        <w:pStyle w:val="Loendilik"/>
        <w:numPr>
          <w:ilvl w:val="0"/>
          <w:numId w:val="4"/>
        </w:numPr>
      </w:pPr>
      <w:r>
        <w:t>Lisatud puhverhaljastuse tinglik asukoht</w:t>
      </w:r>
    </w:p>
    <w:p w14:paraId="5A51D0C6" w14:textId="77777777" w:rsidR="00F62C8B" w:rsidRDefault="00F62C8B" w:rsidP="00747F8D"/>
    <w:p w14:paraId="41F61694" w14:textId="1132862B" w:rsidR="00747F8D" w:rsidRDefault="00747F8D" w:rsidP="00747F8D">
      <w:r>
        <w:t xml:space="preserve">Versioon </w:t>
      </w:r>
      <w:r>
        <w:t>4</w:t>
      </w:r>
    </w:p>
    <w:p w14:paraId="18CD162B" w14:textId="77777777" w:rsidR="00747F8D" w:rsidRDefault="00747F8D" w:rsidP="00747F8D">
      <w:r>
        <w:t>Seletuskiri</w:t>
      </w:r>
    </w:p>
    <w:p w14:paraId="63B597FF" w14:textId="77777777" w:rsidR="00F8309C" w:rsidRPr="00F8309C" w:rsidRDefault="00B52038" w:rsidP="007A27EF">
      <w:pPr>
        <w:pStyle w:val="Loendilik"/>
        <w:numPr>
          <w:ilvl w:val="0"/>
          <w:numId w:val="9"/>
        </w:numPr>
        <w:rPr>
          <w:color w:val="000000" w:themeColor="text1"/>
        </w:rPr>
      </w:pPr>
      <w:r w:rsidRPr="00F8309C">
        <w:rPr>
          <w:color w:val="000000" w:themeColor="text1"/>
        </w:rPr>
        <w:lastRenderedPageBreak/>
        <w:t>Punkti 13</w:t>
      </w:r>
      <w:r w:rsidR="00402478" w:rsidRPr="00F8309C">
        <w:rPr>
          <w:color w:val="000000" w:themeColor="text1"/>
        </w:rPr>
        <w:t xml:space="preserve">.3 on lisatud „ </w:t>
      </w:r>
      <w:r w:rsidR="00402478">
        <w:t>Vajalik tulekustutusvee vajadus ja kogus tuleb määrata ja vee tagamine ette näha ehitusprojekti koostamisel sõltuvalt hoone tuleohuklassist, enim kustutusvett nõudvast tuletõkkesektsiooni pindalast, AKS- olemasolust ja tulekahju arvestuslikust kestusest või taktikalise arvutuse alusel. Vajadusel tuleb rajada krundile kustutusveehoidla. Vajadusel rajatav kustutusveehoidla peab asuma krundil (kui ei ole kirjalikult kokku lepitud teisiti) ja olema rajatud Siseministri 18.02.2021 määruse nr 10 „</w:t>
      </w:r>
      <w:r w:rsidR="00402478" w:rsidRPr="00570455">
        <w:t>Veevõtukoha rajamise, katsetamise, kasutamise, korrashoiu, tähistamise ja teabevahetuse nõuded, tingimused ning kord</w:t>
      </w:r>
      <w:r w:rsidR="00402478">
        <w:t xml:space="preserve">“ nõudeid arvestades. </w:t>
      </w:r>
      <w:r w:rsidR="00F8309C">
        <w:br/>
      </w:r>
      <w:r w:rsidR="00402478" w:rsidRPr="00F8309C">
        <w:rPr>
          <w:szCs w:val="24"/>
        </w:rPr>
        <w:t xml:space="preserve">Ühisveevärgi hüdraulilist ressurssi ei ole lubatud kasutada  hoonesisese tulekustutussüsteemi toimimiseks, välja arvatud ettevarutud vesi mahutites. </w:t>
      </w:r>
      <w:r w:rsidR="00402478">
        <w:t>Kõik hoonete sisesed tulekustutussüsteemid peavad toimima ühisveevärgist sõltumatuna autonoomselt</w:t>
      </w:r>
      <w:r w:rsidR="00F8309C">
        <w:t xml:space="preserve">. </w:t>
      </w:r>
    </w:p>
    <w:p w14:paraId="78CB3E12" w14:textId="33FA042C" w:rsidR="00EC7A46" w:rsidRPr="00F8309C" w:rsidRDefault="005F7946" w:rsidP="007A27EF">
      <w:pPr>
        <w:pStyle w:val="Loendilik"/>
        <w:numPr>
          <w:ilvl w:val="0"/>
          <w:numId w:val="9"/>
        </w:numPr>
        <w:rPr>
          <w:color w:val="000000" w:themeColor="text1"/>
        </w:rPr>
      </w:pPr>
      <w:r>
        <w:t xml:space="preserve">Täpsustatud </w:t>
      </w:r>
      <w:r w:rsidR="00DB06A8">
        <w:t xml:space="preserve">on </w:t>
      </w:r>
      <w:r>
        <w:t xml:space="preserve">punkti 16.1 </w:t>
      </w:r>
      <w:r w:rsidR="00EB4AF7">
        <w:t xml:space="preserve"> teine pool ja sõnastatud see: „</w:t>
      </w:r>
      <w:r w:rsidR="00EC7A46">
        <w:t>Planeeringuala</w:t>
      </w:r>
      <w:r w:rsidR="00EC7A46" w:rsidRPr="1FD14086">
        <w:t>le ulatub</w:t>
      </w:r>
      <w:r w:rsidR="00EC7A46">
        <w:t xml:space="preserve"> suurõnnetuse ohuga  ettevõttega </w:t>
      </w:r>
      <w:proofErr w:type="spellStart"/>
      <w:r w:rsidR="00EC7A46">
        <w:t>Airok</w:t>
      </w:r>
      <w:proofErr w:type="spellEnd"/>
      <w:r w:rsidR="00EC7A46">
        <w:t xml:space="preserve"> OÜ täitejaama ohuala raadius</w:t>
      </w:r>
      <w:r w:rsidR="00EC7A46" w:rsidRPr="1FD14086">
        <w:t>ega</w:t>
      </w:r>
      <w:r w:rsidR="00EC7A46">
        <w:t xml:space="preserve"> 420 m, ohu tüüp: soojuskiirgus, ülerõhk. </w:t>
      </w:r>
      <w:proofErr w:type="spellStart"/>
      <w:r w:rsidR="00EC7A46">
        <w:t>Airok</w:t>
      </w:r>
      <w:proofErr w:type="spellEnd"/>
      <w:r w:rsidR="00EC7A46">
        <w:t xml:space="preserve"> OÜ asub Planeedi tn 10 krundil. Planeeringualale ulatub ohualaga määratud ohuala ehitistele (raadius 184 m), eriti ohtlik ala (raadius 232 m) ja osaliselt väga ohtlik ala (raadius 376 m). </w:t>
      </w:r>
    </w:p>
    <w:p w14:paraId="28192C74" w14:textId="77777777" w:rsidR="00EC7A46" w:rsidRDefault="00EC7A46" w:rsidP="00EC7A46">
      <w:pPr>
        <w:pStyle w:val="Vahedeta"/>
        <w:ind w:left="708"/>
        <w:rPr>
          <w:color w:val="000000" w:themeColor="text1"/>
        </w:rPr>
      </w:pPr>
      <w:r>
        <w:rPr>
          <w:color w:val="000000" w:themeColor="text1"/>
        </w:rPr>
        <w:t>Ohualad on näidatud lisades joonisel ML105 Situatsiooniskeem, ML106 Tugiplaan ja JN100 Põhijoonis.</w:t>
      </w:r>
    </w:p>
    <w:p w14:paraId="68CB37FA" w14:textId="77777777" w:rsidR="00EC7A46" w:rsidRPr="2F570710" w:rsidRDefault="00EC7A46" w:rsidP="00EC7A46">
      <w:pPr>
        <w:pStyle w:val="Vahedeta"/>
        <w:ind w:left="708"/>
        <w:rPr>
          <w:color w:val="000000" w:themeColor="text1"/>
        </w:rPr>
      </w:pPr>
      <w:r w:rsidRPr="2F570710">
        <w:rPr>
          <w:color w:val="000000" w:themeColor="text1"/>
        </w:rPr>
        <w:t>Planeeringualal tegutsev</w:t>
      </w:r>
      <w:r>
        <w:rPr>
          <w:color w:val="000000" w:themeColor="text1"/>
        </w:rPr>
        <w:t>ad</w:t>
      </w:r>
      <w:r w:rsidRPr="2F570710">
        <w:rPr>
          <w:color w:val="000000" w:themeColor="text1"/>
        </w:rPr>
        <w:t xml:space="preserve"> isik</w:t>
      </w:r>
      <w:r>
        <w:rPr>
          <w:color w:val="000000" w:themeColor="text1"/>
        </w:rPr>
        <w:t>ud</w:t>
      </w:r>
      <w:r w:rsidRPr="2F570710">
        <w:rPr>
          <w:color w:val="000000" w:themeColor="text1"/>
        </w:rPr>
        <w:t xml:space="preserve"> pea</w:t>
      </w:r>
      <w:r>
        <w:rPr>
          <w:color w:val="000000" w:themeColor="text1"/>
        </w:rPr>
        <w:t>vad</w:t>
      </w:r>
      <w:r w:rsidRPr="2F570710">
        <w:rPr>
          <w:color w:val="000000" w:themeColor="text1"/>
        </w:rPr>
        <w:t xml:space="preserve"> olema ohust teadlik</w:t>
      </w:r>
      <w:r>
        <w:rPr>
          <w:color w:val="000000" w:themeColor="text1"/>
        </w:rPr>
        <w:t>ud</w:t>
      </w:r>
      <w:r w:rsidRPr="2F570710">
        <w:rPr>
          <w:color w:val="000000" w:themeColor="text1"/>
        </w:rPr>
        <w:t xml:space="preserve"> ja valmis ohuolukorras teadlikuks tegutsemiseks</w:t>
      </w:r>
      <w:r>
        <w:rPr>
          <w:color w:val="000000" w:themeColor="text1"/>
        </w:rPr>
        <w:t>.</w:t>
      </w:r>
    </w:p>
    <w:p w14:paraId="13F05C34" w14:textId="4C4A5EF9" w:rsidR="00747F8D" w:rsidRDefault="00EC7A46" w:rsidP="00EC7A46">
      <w:pPr>
        <w:pStyle w:val="Vahedeta"/>
        <w:ind w:left="708"/>
      </w:pPr>
      <w:r w:rsidRPr="00437097">
        <w:t>Planeeritaval alal</w:t>
      </w:r>
      <w:r>
        <w:t>e</w:t>
      </w:r>
      <w:r w:rsidRPr="00437097">
        <w:t xml:space="preserve"> </w:t>
      </w:r>
      <w:r>
        <w:t xml:space="preserve">on lubatud, lähtudes Päästeameti </w:t>
      </w:r>
      <w:r w:rsidRPr="004D7A4A">
        <w:t>ohutusjärelevalve osakon</w:t>
      </w:r>
      <w:r>
        <w:t xml:space="preserve">na metoodikast „Kemikaaliseaduse kohase planeeringute ja ehitusprojektide kooskõlastamise otsuse tegemine“, </w:t>
      </w:r>
      <w:r w:rsidRPr="00437097">
        <w:t>tundlikkuse ast</w:t>
      </w:r>
      <w:r>
        <w:t>mega</w:t>
      </w:r>
      <w:r w:rsidRPr="00437097">
        <w:t xml:space="preserve"> 1</w:t>
      </w:r>
      <w:r>
        <w:t xml:space="preserve"> (tavaline töökeskkond)</w:t>
      </w:r>
      <w:r w:rsidRPr="00437097">
        <w:t xml:space="preserve"> </w:t>
      </w:r>
      <w:r>
        <w:t>ehitiste rajamine. Tundlikkusega 1 ja 2  (tavaline töökeskkond ja üldine avalikkus) ehitiste rajamine on lubatud osaliselt krundil POS 2  eriti ohtlikust alast välja jääval alal.</w:t>
      </w:r>
      <w:r>
        <w:t>“</w:t>
      </w:r>
    </w:p>
    <w:p w14:paraId="6887EF59" w14:textId="77777777" w:rsidR="00747F8D" w:rsidRDefault="00747F8D" w:rsidP="00EC7A46">
      <w:pPr>
        <w:pStyle w:val="Vahedeta"/>
      </w:pPr>
    </w:p>
    <w:p w14:paraId="33EA8556" w14:textId="4B64EB03" w:rsidR="00DB06A8" w:rsidRDefault="00DB06A8" w:rsidP="00EC7A46">
      <w:pPr>
        <w:pStyle w:val="Vahedeta"/>
      </w:pPr>
      <w:r>
        <w:t>Põhijoonis</w:t>
      </w:r>
    </w:p>
    <w:p w14:paraId="70A3FFA8" w14:textId="32D8E8D0" w:rsidR="00DB06A8" w:rsidRDefault="00593A7B" w:rsidP="00DB06A8">
      <w:pPr>
        <w:pStyle w:val="Vahedeta"/>
        <w:numPr>
          <w:ilvl w:val="0"/>
          <w:numId w:val="11"/>
        </w:numPr>
      </w:pPr>
      <w:r>
        <w:t xml:space="preserve">Lisatud </w:t>
      </w:r>
      <w:proofErr w:type="spellStart"/>
      <w:r>
        <w:t>Airok</w:t>
      </w:r>
      <w:proofErr w:type="spellEnd"/>
      <w:r>
        <w:t xml:space="preserve"> OÜ täitejaama ohuala</w:t>
      </w:r>
      <w:r w:rsidR="00E30067">
        <w:t xml:space="preserve"> ehitisi ohustav a ala ja </w:t>
      </w:r>
      <w:r w:rsidR="00946C07">
        <w:t>eriti ohtliku ala ulatused</w:t>
      </w:r>
    </w:p>
    <w:p w14:paraId="29B082A1" w14:textId="43F8B89B" w:rsidR="00946C07" w:rsidRDefault="00A534EE" w:rsidP="00DB06A8">
      <w:pPr>
        <w:pStyle w:val="Vahedeta"/>
        <w:numPr>
          <w:ilvl w:val="0"/>
          <w:numId w:val="11"/>
        </w:numPr>
      </w:pPr>
      <w:r>
        <w:t xml:space="preserve">Lisatud </w:t>
      </w:r>
      <w:r w:rsidR="00946C07">
        <w:t xml:space="preserve"> Kõpu tn 6  asuva</w:t>
      </w:r>
      <w:r w:rsidR="00960558">
        <w:t>st</w:t>
      </w:r>
      <w:r>
        <w:t xml:space="preserve"> varikatuse</w:t>
      </w:r>
      <w:r w:rsidR="00960558">
        <w:t xml:space="preserve">st lähtuva tuleohutuskuja </w:t>
      </w:r>
      <w:r w:rsidR="00742BD6">
        <w:t>ulatus krundil POS 2.</w:t>
      </w:r>
    </w:p>
    <w:p w14:paraId="17210CAC" w14:textId="1D1435FD" w:rsidR="00742BD6" w:rsidRDefault="00742BD6" w:rsidP="00DB06A8">
      <w:pPr>
        <w:pStyle w:val="Vahedeta"/>
        <w:numPr>
          <w:ilvl w:val="0"/>
          <w:numId w:val="11"/>
        </w:numPr>
      </w:pPr>
      <w:r>
        <w:t xml:space="preserve">Suurendatud hoonestusala </w:t>
      </w:r>
      <w:r w:rsidR="004F02DF">
        <w:t>koos</w:t>
      </w:r>
      <w:r w:rsidR="003679C9">
        <w:t xml:space="preserve"> tulemüüri või tuletõkkeseina vajadusega Kõpu tn 6 asuva varikatuse </w:t>
      </w:r>
      <w:r w:rsidR="006B5551">
        <w:t>lõunaküljeni</w:t>
      </w:r>
    </w:p>
    <w:p w14:paraId="3DB8AC13" w14:textId="77777777" w:rsidR="006B5551" w:rsidRDefault="006B5551" w:rsidP="006B5551">
      <w:pPr>
        <w:pStyle w:val="Vahedeta"/>
        <w:ind w:left="720"/>
      </w:pPr>
    </w:p>
    <w:p w14:paraId="4A751184" w14:textId="21E959EA" w:rsidR="006B5551" w:rsidRDefault="006B5551" w:rsidP="006B5551">
      <w:pPr>
        <w:pStyle w:val="Vahedeta"/>
      </w:pPr>
      <w:r>
        <w:t>Asendiskeem</w:t>
      </w:r>
    </w:p>
    <w:p w14:paraId="30AA574C" w14:textId="57DFDD74" w:rsidR="006B5551" w:rsidRDefault="006B5551" w:rsidP="006B5551">
      <w:pPr>
        <w:pStyle w:val="Vahedeta"/>
        <w:numPr>
          <w:ilvl w:val="0"/>
          <w:numId w:val="13"/>
        </w:numPr>
      </w:pPr>
      <w:r>
        <w:t xml:space="preserve">Lisatud </w:t>
      </w:r>
      <w:proofErr w:type="spellStart"/>
      <w:r>
        <w:t>Airok</w:t>
      </w:r>
      <w:proofErr w:type="spellEnd"/>
      <w:r>
        <w:t xml:space="preserve"> OÜ täitejaama ohuala ehitisi ohustava ala</w:t>
      </w:r>
      <w:r>
        <w:t xml:space="preserve">, </w:t>
      </w:r>
      <w:r>
        <w:t>eriti ohtliku ala</w:t>
      </w:r>
      <w:r w:rsidR="00DA7E2E">
        <w:t>, väga ohtliku ala, ja ohtliku ala</w:t>
      </w:r>
      <w:r>
        <w:t xml:space="preserve"> ulatused</w:t>
      </w:r>
    </w:p>
    <w:p w14:paraId="625206A3" w14:textId="62A3B2FC" w:rsidR="006B5551" w:rsidRDefault="006B5551" w:rsidP="00BF2227">
      <w:pPr>
        <w:pStyle w:val="Vahedeta"/>
      </w:pPr>
    </w:p>
    <w:p w14:paraId="1C3627D4" w14:textId="36DEC112" w:rsidR="00BF2227" w:rsidRDefault="00BF2227" w:rsidP="00BF2227">
      <w:pPr>
        <w:pStyle w:val="Vahedeta"/>
      </w:pPr>
      <w:r>
        <w:t>Tugiplaan</w:t>
      </w:r>
    </w:p>
    <w:p w14:paraId="60910207" w14:textId="77777777" w:rsidR="00BF2227" w:rsidRDefault="00BF2227" w:rsidP="00BF2227">
      <w:pPr>
        <w:pStyle w:val="Vahedeta"/>
        <w:numPr>
          <w:ilvl w:val="0"/>
          <w:numId w:val="15"/>
        </w:numPr>
      </w:pPr>
      <w:r>
        <w:t xml:space="preserve">Lisatud </w:t>
      </w:r>
      <w:proofErr w:type="spellStart"/>
      <w:r>
        <w:t>Airok</w:t>
      </w:r>
      <w:proofErr w:type="spellEnd"/>
      <w:r>
        <w:t xml:space="preserve"> OÜ täitejaama ohuala ehitisi ohustav a ala ja eriti ohtliku ala ulatused</w:t>
      </w:r>
    </w:p>
    <w:p w14:paraId="45819035" w14:textId="3D026F7A" w:rsidR="00BF2227" w:rsidRDefault="00BF2227" w:rsidP="00BF2227">
      <w:pPr>
        <w:pStyle w:val="Vahedeta"/>
        <w:numPr>
          <w:ilvl w:val="0"/>
          <w:numId w:val="15"/>
        </w:numPr>
      </w:pPr>
      <w:r>
        <w:t xml:space="preserve">Lisatud  Kõpu tn 6  asuvast varikatusest lähtuva tuleohutuskuja ulatus </w:t>
      </w:r>
      <w:r w:rsidR="007B7D9D">
        <w:t>planeeringualal</w:t>
      </w:r>
      <w:r>
        <w:t>.</w:t>
      </w:r>
    </w:p>
    <w:sectPr w:rsidR="00BF22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altName w:val="Times New Roman"/>
    <w:panose1 w:val="02020603050405020304"/>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130CB"/>
    <w:multiLevelType w:val="hybridMultilevel"/>
    <w:tmpl w:val="DDC8C186"/>
    <w:lvl w:ilvl="0" w:tplc="0425000F">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20C6D6A"/>
    <w:multiLevelType w:val="hybridMultilevel"/>
    <w:tmpl w:val="D7E4DAB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42E2C1D"/>
    <w:multiLevelType w:val="hybridMultilevel"/>
    <w:tmpl w:val="4F48E54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6FF431B"/>
    <w:multiLevelType w:val="hybridMultilevel"/>
    <w:tmpl w:val="ECA4EB8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94C0376"/>
    <w:multiLevelType w:val="hybridMultilevel"/>
    <w:tmpl w:val="187CA5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C5B6A76"/>
    <w:multiLevelType w:val="hybridMultilevel"/>
    <w:tmpl w:val="187CA5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DC81EBF"/>
    <w:multiLevelType w:val="hybridMultilevel"/>
    <w:tmpl w:val="10BEAA68"/>
    <w:lvl w:ilvl="0" w:tplc="E38AC6D2">
      <w:start w:val="1"/>
      <w:numFmt w:val="decimal"/>
      <w:lvlText w:val="%1."/>
      <w:lvlJc w:val="left"/>
      <w:pPr>
        <w:ind w:left="720" w:hanging="360"/>
      </w:pPr>
      <w:rPr>
        <w:rFonts w:hint="default"/>
        <w:color w:val="000000" w:themeColor="text1"/>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FA0593C"/>
    <w:multiLevelType w:val="hybridMultilevel"/>
    <w:tmpl w:val="1714C54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6557C8B"/>
    <w:multiLevelType w:val="hybridMultilevel"/>
    <w:tmpl w:val="B60C872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4E85113A"/>
    <w:multiLevelType w:val="hybridMultilevel"/>
    <w:tmpl w:val="187CA56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60D81C26"/>
    <w:multiLevelType w:val="hybridMultilevel"/>
    <w:tmpl w:val="720E2168"/>
    <w:lvl w:ilvl="0" w:tplc="2446FEAC">
      <w:start w:val="1"/>
      <w:numFmt w:val="bullet"/>
      <w:lvlText w:val=""/>
      <w:lvlJc w:val="left"/>
      <w:pPr>
        <w:ind w:left="720" w:hanging="360"/>
      </w:pPr>
      <w:rPr>
        <w:rFonts w:ascii="Symbol" w:hAnsi="Symbol"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88F025A"/>
    <w:multiLevelType w:val="hybridMultilevel"/>
    <w:tmpl w:val="5784EF20"/>
    <w:lvl w:ilvl="0" w:tplc="0425000F">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E63083B"/>
    <w:multiLevelType w:val="hybridMultilevel"/>
    <w:tmpl w:val="01CC65A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7BC62D1B"/>
    <w:multiLevelType w:val="hybridMultilevel"/>
    <w:tmpl w:val="976ED8F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7DDC3CE6"/>
    <w:multiLevelType w:val="hybridMultilevel"/>
    <w:tmpl w:val="976ED8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7944297">
    <w:abstractNumId w:val="8"/>
  </w:num>
  <w:num w:numId="2" w16cid:durableId="860435355">
    <w:abstractNumId w:val="3"/>
  </w:num>
  <w:num w:numId="3" w16cid:durableId="1306857674">
    <w:abstractNumId w:val="13"/>
  </w:num>
  <w:num w:numId="4" w16cid:durableId="314257757">
    <w:abstractNumId w:val="12"/>
  </w:num>
  <w:num w:numId="5" w16cid:durableId="2100171456">
    <w:abstractNumId w:val="14"/>
  </w:num>
  <w:num w:numId="6" w16cid:durableId="1905406816">
    <w:abstractNumId w:val="2"/>
  </w:num>
  <w:num w:numId="7" w16cid:durableId="926888474">
    <w:abstractNumId w:val="10"/>
  </w:num>
  <w:num w:numId="8" w16cid:durableId="1344473457">
    <w:abstractNumId w:val="0"/>
  </w:num>
  <w:num w:numId="9" w16cid:durableId="522868048">
    <w:abstractNumId w:val="11"/>
  </w:num>
  <w:num w:numId="10" w16cid:durableId="250165230">
    <w:abstractNumId w:val="6"/>
  </w:num>
  <w:num w:numId="11" w16cid:durableId="1484196944">
    <w:abstractNumId w:val="9"/>
  </w:num>
  <w:num w:numId="12" w16cid:durableId="1697347114">
    <w:abstractNumId w:val="1"/>
  </w:num>
  <w:num w:numId="13" w16cid:durableId="248662590">
    <w:abstractNumId w:val="5"/>
  </w:num>
  <w:num w:numId="14" w16cid:durableId="791051022">
    <w:abstractNumId w:val="7"/>
  </w:num>
  <w:num w:numId="15" w16cid:durableId="19590272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A47"/>
    <w:rsid w:val="00005B91"/>
    <w:rsid w:val="00051BAD"/>
    <w:rsid w:val="000D1A9F"/>
    <w:rsid w:val="000F3658"/>
    <w:rsid w:val="00191CA6"/>
    <w:rsid w:val="00243062"/>
    <w:rsid w:val="00252E88"/>
    <w:rsid w:val="00283CC7"/>
    <w:rsid w:val="00284974"/>
    <w:rsid w:val="0029725E"/>
    <w:rsid w:val="002C3767"/>
    <w:rsid w:val="00322E84"/>
    <w:rsid w:val="00336A8B"/>
    <w:rsid w:val="00357C80"/>
    <w:rsid w:val="00364AA2"/>
    <w:rsid w:val="003679C9"/>
    <w:rsid w:val="003B4096"/>
    <w:rsid w:val="00402478"/>
    <w:rsid w:val="004F02DF"/>
    <w:rsid w:val="00522586"/>
    <w:rsid w:val="00544901"/>
    <w:rsid w:val="00550E9A"/>
    <w:rsid w:val="00593A7B"/>
    <w:rsid w:val="005F7946"/>
    <w:rsid w:val="0061333C"/>
    <w:rsid w:val="0067586B"/>
    <w:rsid w:val="006B5551"/>
    <w:rsid w:val="0073598D"/>
    <w:rsid w:val="00742BD6"/>
    <w:rsid w:val="00747F8D"/>
    <w:rsid w:val="007716A0"/>
    <w:rsid w:val="00772438"/>
    <w:rsid w:val="007A60AD"/>
    <w:rsid w:val="007B7D9D"/>
    <w:rsid w:val="008001AE"/>
    <w:rsid w:val="008A6681"/>
    <w:rsid w:val="009413F4"/>
    <w:rsid w:val="00946C07"/>
    <w:rsid w:val="00953E85"/>
    <w:rsid w:val="00960558"/>
    <w:rsid w:val="0098781C"/>
    <w:rsid w:val="009C76D7"/>
    <w:rsid w:val="00A35B0C"/>
    <w:rsid w:val="00A436A5"/>
    <w:rsid w:val="00A44197"/>
    <w:rsid w:val="00A534EE"/>
    <w:rsid w:val="00B23E07"/>
    <w:rsid w:val="00B26ABD"/>
    <w:rsid w:val="00B52038"/>
    <w:rsid w:val="00B83B1F"/>
    <w:rsid w:val="00BF2227"/>
    <w:rsid w:val="00C34A47"/>
    <w:rsid w:val="00D23B3A"/>
    <w:rsid w:val="00D543DF"/>
    <w:rsid w:val="00DA7E2E"/>
    <w:rsid w:val="00DB06A8"/>
    <w:rsid w:val="00DB2566"/>
    <w:rsid w:val="00DD7449"/>
    <w:rsid w:val="00E0500B"/>
    <w:rsid w:val="00E15A1A"/>
    <w:rsid w:val="00E30067"/>
    <w:rsid w:val="00E64E5D"/>
    <w:rsid w:val="00EA789B"/>
    <w:rsid w:val="00EB4AF7"/>
    <w:rsid w:val="00EC0DEC"/>
    <w:rsid w:val="00EC7A46"/>
    <w:rsid w:val="00F26D25"/>
    <w:rsid w:val="00F62C8B"/>
    <w:rsid w:val="00F8309C"/>
    <w:rsid w:val="00F938D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3108A"/>
  <w15:chartTrackingRefBased/>
  <w15:docId w15:val="{6BB1006F-8D4C-4B03-A166-C4D8876FD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C34A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C34A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C34A47"/>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C34A47"/>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C34A47"/>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C34A47"/>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C34A47"/>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C34A47"/>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C34A47"/>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C34A47"/>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C34A47"/>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C34A47"/>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C34A47"/>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C34A47"/>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C34A47"/>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C34A47"/>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C34A47"/>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C34A47"/>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C34A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C34A47"/>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C34A47"/>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C34A47"/>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C34A47"/>
    <w:pPr>
      <w:spacing w:before="160"/>
      <w:jc w:val="center"/>
    </w:pPr>
    <w:rPr>
      <w:i/>
      <w:iCs/>
      <w:color w:val="404040" w:themeColor="text1" w:themeTint="BF"/>
    </w:rPr>
  </w:style>
  <w:style w:type="character" w:customStyle="1" w:styleId="TsitaatMrk">
    <w:name w:val="Tsitaat Märk"/>
    <w:basedOn w:val="Liguvaikefont"/>
    <w:link w:val="Tsitaat"/>
    <w:uiPriority w:val="29"/>
    <w:rsid w:val="00C34A47"/>
    <w:rPr>
      <w:i/>
      <w:iCs/>
      <w:color w:val="404040" w:themeColor="text1" w:themeTint="BF"/>
    </w:rPr>
  </w:style>
  <w:style w:type="paragraph" w:styleId="Loendilik">
    <w:name w:val="List Paragraph"/>
    <w:basedOn w:val="Normaallaad"/>
    <w:uiPriority w:val="34"/>
    <w:qFormat/>
    <w:rsid w:val="00C34A47"/>
    <w:pPr>
      <w:ind w:left="720"/>
      <w:contextualSpacing/>
    </w:pPr>
  </w:style>
  <w:style w:type="character" w:styleId="Selgeltmrgatavrhutus">
    <w:name w:val="Intense Emphasis"/>
    <w:basedOn w:val="Liguvaikefont"/>
    <w:uiPriority w:val="21"/>
    <w:qFormat/>
    <w:rsid w:val="00C34A47"/>
    <w:rPr>
      <w:i/>
      <w:iCs/>
      <w:color w:val="0F4761" w:themeColor="accent1" w:themeShade="BF"/>
    </w:rPr>
  </w:style>
  <w:style w:type="paragraph" w:styleId="Selgeltmrgatavtsitaat">
    <w:name w:val="Intense Quote"/>
    <w:basedOn w:val="Normaallaad"/>
    <w:next w:val="Normaallaad"/>
    <w:link w:val="SelgeltmrgatavtsitaatMrk"/>
    <w:uiPriority w:val="30"/>
    <w:qFormat/>
    <w:rsid w:val="00C34A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C34A47"/>
    <w:rPr>
      <w:i/>
      <w:iCs/>
      <w:color w:val="0F4761" w:themeColor="accent1" w:themeShade="BF"/>
    </w:rPr>
  </w:style>
  <w:style w:type="character" w:styleId="Selgeltmrgatavviide">
    <w:name w:val="Intense Reference"/>
    <w:basedOn w:val="Liguvaikefont"/>
    <w:uiPriority w:val="32"/>
    <w:qFormat/>
    <w:rsid w:val="00C34A47"/>
    <w:rPr>
      <w:b/>
      <w:bCs/>
      <w:smallCaps/>
      <w:color w:val="0F4761" w:themeColor="accent1" w:themeShade="BF"/>
      <w:spacing w:val="5"/>
    </w:rPr>
  </w:style>
  <w:style w:type="character" w:styleId="Hperlink">
    <w:name w:val="Hyperlink"/>
    <w:basedOn w:val="Liguvaikefont"/>
    <w:uiPriority w:val="99"/>
    <w:unhideWhenUsed/>
    <w:rsid w:val="00C34A47"/>
    <w:rPr>
      <w:color w:val="467886" w:themeColor="hyperlink"/>
      <w:u w:val="single"/>
    </w:rPr>
  </w:style>
  <w:style w:type="character" w:styleId="Lahendamatamainimine">
    <w:name w:val="Unresolved Mention"/>
    <w:basedOn w:val="Liguvaikefont"/>
    <w:uiPriority w:val="99"/>
    <w:semiHidden/>
    <w:unhideWhenUsed/>
    <w:rsid w:val="00C34A47"/>
    <w:rPr>
      <w:color w:val="605E5C"/>
      <w:shd w:val="clear" w:color="auto" w:fill="E1DFDD"/>
    </w:rPr>
  </w:style>
  <w:style w:type="character" w:styleId="Klastatudhperlink">
    <w:name w:val="FollowedHyperlink"/>
    <w:basedOn w:val="Liguvaikefont"/>
    <w:uiPriority w:val="99"/>
    <w:semiHidden/>
    <w:unhideWhenUsed/>
    <w:rsid w:val="00D543DF"/>
    <w:rPr>
      <w:color w:val="96607D" w:themeColor="followedHyperlink"/>
      <w:u w:val="single"/>
    </w:rPr>
  </w:style>
  <w:style w:type="character" w:customStyle="1" w:styleId="WW-Absatz-Standardschriftart111111111111111">
    <w:name w:val="WW-Absatz-Standardschriftart111111111111111"/>
    <w:rsid w:val="00EC7A46"/>
  </w:style>
  <w:style w:type="paragraph" w:styleId="Vahedeta">
    <w:name w:val="No Spacing"/>
    <w:uiPriority w:val="1"/>
    <w:qFormat/>
    <w:rsid w:val="00EC7A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7744764">
      <w:bodyDiv w:val="1"/>
      <w:marLeft w:val="0"/>
      <w:marRight w:val="0"/>
      <w:marTop w:val="0"/>
      <w:marBottom w:val="0"/>
      <w:divBdr>
        <w:top w:val="none" w:sz="0" w:space="0" w:color="auto"/>
        <w:left w:val="none" w:sz="0" w:space="0" w:color="auto"/>
        <w:bottom w:val="none" w:sz="0" w:space="0" w:color="auto"/>
        <w:right w:val="none" w:sz="0" w:space="0" w:color="auto"/>
      </w:divBdr>
    </w:div>
    <w:div w:id="157177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681</Words>
  <Characters>3951</Characters>
  <Application>Microsoft Office Word</Application>
  <DocSecurity>0</DocSecurity>
  <Lines>32</Lines>
  <Paragraphs>9</Paragraphs>
  <ScaleCrop>false</ScaleCrop>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Kalle Kadalipp</dc:creator>
  <cp:keywords/>
  <dc:description/>
  <cp:lastModifiedBy>Kalle Kadalipp</cp:lastModifiedBy>
  <cp:revision>59</cp:revision>
  <dcterms:created xsi:type="dcterms:W3CDTF">2025-04-08T19:01:00Z</dcterms:created>
  <dcterms:modified xsi:type="dcterms:W3CDTF">2025-06-29T13:04:00Z</dcterms:modified>
</cp:coreProperties>
</file>